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firstLine="0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387"/>
        <w:keepLines/>
        <w:keepNext/>
        <w:spacing w:line="276" w:lineRule="auto"/>
        <w:rPr>
          <w:sz w:val="24"/>
          <w:szCs w:val="24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180340" distL="114300" distR="114300" simplePos="0" relativeHeight="251659264" behindDoc="1" locked="0" layoutInCell="1" allowOverlap="1">
                <wp:simplePos x="0" y="0"/>
                <wp:positionH relativeFrom="margin">
                  <wp:posOffset>2279015</wp:posOffset>
                </wp:positionH>
                <wp:positionV relativeFrom="paragraph">
                  <wp:posOffset>97487</wp:posOffset>
                </wp:positionV>
                <wp:extent cx="1115695" cy="539750"/>
                <wp:effectExtent l="0" t="0" r="0" b="0"/>
                <wp:wrapNone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1115695" cy="539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59264;o:allowoverlap:true;o:allowincell:true;mso-position-horizontal-relative:margin;margin-left:179.45pt;mso-position-horizontal:absolute;mso-position-vertical-relative:text;margin-top:7.68pt;mso-position-vertical:absolute;width:87.85pt;height:42.50pt;mso-wrap-distance-left:9.00pt;mso-wrap-distance-top:0.00pt;mso-wrap-distance-right:9.00pt;mso-wrap-distance-bottom:14.20pt;" stroked="false">
                <v:path textboxrect="0,0,0,0"/>
                <v:imagedata r:id="rId10" o:title=""/>
              </v:shape>
            </w:pict>
          </mc:Fallback>
        </mc:AlternateConten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245" w:hanging="11"/>
        <w:spacing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245" w:hanging="11"/>
        <w:spacing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387" w:firstLine="0"/>
        <w:keepLines/>
        <w:keepNext/>
        <w:spacing w:line="276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rPr>
          <w:rFonts w:ascii="avenirnextcyr-bold" w:hAnsi="avenirnextcyr-bold" w:cs="avenirnextcyr-bold"/>
          <w:b/>
          <w:bCs/>
          <w:sz w:val="24"/>
          <w:szCs w:val="24"/>
        </w:rPr>
      </w:pPr>
      <w:r>
        <w:rPr>
          <w:rFonts w:ascii="avenirnextcyr-bold" w:hAnsi="avenirnextcyr-bold" w:cs="avenirnextcyr-bold"/>
          <w:b/>
          <w:bCs/>
          <w:sz w:val="24"/>
          <w:szCs w:val="24"/>
        </w:rPr>
        <w:t xml:space="preserve">Акционерное общество «Дальневосточная генерирующая компания»</w:t>
      </w:r>
      <w:r>
        <w:rPr>
          <w:rFonts w:ascii="avenirnextcyr-bold" w:hAnsi="avenirnextcyr-bold" w:cs="avenirnextcyr-bold"/>
          <w:b/>
          <w:bCs/>
          <w:sz w:val="24"/>
          <w:szCs w:val="24"/>
        </w:rPr>
      </w:r>
      <w:r>
        <w:rPr>
          <w:rFonts w:ascii="avenirnextcyr-bold" w:hAnsi="avenirnextcyr-bold" w:cs="avenirnextcyr-bold"/>
          <w:b/>
          <w:bCs/>
          <w:sz w:val="24"/>
          <w:szCs w:val="24"/>
        </w:rPr>
      </w:r>
    </w:p>
    <w:p>
      <w:pPr>
        <w:jc w:val="center"/>
        <w:rPr>
          <w:rFonts w:ascii="avenirnextcyr-bold" w:hAnsi="avenirnextcyr-bold" w:cs="avenirnextcyr-bold"/>
          <w:b/>
          <w:bCs/>
          <w:sz w:val="18"/>
          <w:szCs w:val="18"/>
        </w:rPr>
      </w:pPr>
      <w:r>
        <w:rPr>
          <w:rFonts w:ascii="avenirnextcyr-bold" w:hAnsi="avenirnextcyr-bold" w:cs="avenirnextcyr-bold"/>
          <w:b/>
          <w:bCs/>
          <w:sz w:val="18"/>
          <w:szCs w:val="18"/>
        </w:rPr>
      </w:r>
      <w:r>
        <w:rPr>
          <w:rFonts w:ascii="avenirnextcyr-bold" w:hAnsi="avenirnextcyr-bold" w:cs="avenirnextcyr-bold"/>
          <w:b/>
          <w:bCs/>
          <w:sz w:val="18"/>
          <w:szCs w:val="18"/>
        </w:rPr>
      </w:r>
      <w:r>
        <w:rPr>
          <w:rFonts w:ascii="avenirnextcyr-bold" w:hAnsi="avenirnextcyr-bold" w:cs="avenirnextcyr-bold"/>
          <w:b/>
          <w:bCs/>
          <w:sz w:val="18"/>
          <w:szCs w:val="18"/>
        </w:rPr>
      </w:r>
    </w:p>
    <w:p>
      <w:pPr>
        <w:ind w:left="5387" w:firstLine="0"/>
        <w:keepLines/>
        <w:keepNext/>
        <w:spacing w:line="24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«УТВЕРЖДАЮ»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left="5387" w:firstLine="0"/>
        <w:keepLines/>
        <w:keepNext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Председатель</w:t>
      </w:r>
      <w:r>
        <w:rPr>
          <w:sz w:val="22"/>
          <w:szCs w:val="22"/>
        </w:rPr>
        <w:t xml:space="preserve"> закупочной комиссии 1-го уровня </w:t>
      </w:r>
      <w:r>
        <w:rPr>
          <w:sz w:val="22"/>
          <w:szCs w:val="22"/>
        </w:rPr>
        <w:t xml:space="preserve">– Заместитель генерального </w:t>
      </w:r>
      <w:r>
        <w:rPr>
          <w:sz w:val="22"/>
          <w:szCs w:val="22"/>
        </w:rPr>
        <w:t xml:space="preserve">директора по</w:t>
      </w:r>
      <w:r>
        <w:rPr>
          <w:sz w:val="22"/>
          <w:szCs w:val="22"/>
        </w:rPr>
        <w:t xml:space="preserve"> управлению ресурсами </w:t>
      </w:r>
      <w:r>
        <w:rPr>
          <w:sz w:val="22"/>
          <w:szCs w:val="22"/>
        </w:rPr>
        <w:t xml:space="preserve">АО «ДГК»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387" w:firstLine="0"/>
        <w:keepLines/>
        <w:keepNext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____________________ Д.А. Богонатов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387" w:firstLine="0"/>
        <w:keepLines/>
        <w:keepNext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«__</w:t>
      </w:r>
      <w:r>
        <w:rPr>
          <w:sz w:val="22"/>
          <w:szCs w:val="22"/>
        </w:rPr>
        <w:t xml:space="preserve">_» _</w:t>
      </w:r>
      <w:r>
        <w:rPr>
          <w:sz w:val="22"/>
          <w:szCs w:val="22"/>
        </w:rPr>
        <w:t xml:space="preserve">______________ 2025</w:t>
      </w:r>
      <w:r>
        <w:rPr>
          <w:sz w:val="22"/>
          <w:szCs w:val="22"/>
        </w:rPr>
        <w:t xml:space="preserve">г.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387" w:firstLine="0"/>
        <w:keepLines/>
        <w:keepNext/>
        <w:spacing w:line="276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72"/>
        <w:jc w:val="center"/>
        <w:spacing w:before="0" w:line="240" w:lineRule="auto"/>
        <w:rPr>
          <w:b/>
          <w:bCs/>
          <w:sz w:val="22"/>
          <w:szCs w:val="22"/>
        </w:rPr>
      </w:pPr>
      <w:r>
        <w:rPr>
          <w:b/>
          <w:sz w:val="22"/>
          <w:szCs w:val="22"/>
          <w:highlight w:val="none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pStyle w:val="872"/>
        <w:jc w:val="center"/>
        <w:spacing w:before="0" w:line="240" w:lineRule="auto"/>
        <w:rPr>
          <w:b/>
          <w:bCs/>
          <w:sz w:val="22"/>
          <w:szCs w:val="22"/>
          <w:highlight w:val="none"/>
        </w:rPr>
      </w:pPr>
      <w:r>
        <w:rPr>
          <w:b/>
          <w:sz w:val="22"/>
          <w:szCs w:val="22"/>
        </w:rPr>
        <w:t xml:space="preserve">Уведомление о внесении изменений № </w:t>
      </w:r>
      <w:r>
        <w:rPr>
          <w:b/>
          <w:sz w:val="22"/>
          <w:szCs w:val="22"/>
        </w:rPr>
        <w:t xml:space="preserve">1</w:t>
      </w:r>
      <w:r>
        <w:rPr>
          <w:b/>
          <w:bCs/>
          <w:sz w:val="22"/>
          <w:szCs w:val="22"/>
          <w:highlight w:val="none"/>
        </w:rPr>
      </w:r>
      <w:r>
        <w:rPr>
          <w:b/>
          <w:bCs/>
          <w:sz w:val="22"/>
          <w:szCs w:val="22"/>
          <w:highlight w:val="none"/>
        </w:rPr>
      </w:r>
    </w:p>
    <w:p>
      <w:pPr>
        <w:pStyle w:val="893"/>
        <w:jc w:val="both"/>
        <w:keepNext/>
        <w:spacing w:before="240"/>
        <w:rPr>
          <w:sz w:val="22"/>
          <w:szCs w:val="22"/>
          <w:u w:val="none"/>
          <w14:ligatures w14:val="none"/>
        </w:rPr>
      </w:pPr>
      <w:r>
        <w:rPr>
          <w:sz w:val="22"/>
          <w:szCs w:val="22"/>
          <w:u w:val="none"/>
        </w:rPr>
        <w:t xml:space="preserve">в извещение и Документацию </w:t>
      </w:r>
      <w:r>
        <w:rPr>
          <w:sz w:val="22"/>
          <w:szCs w:val="22"/>
          <w:u w:val="none"/>
        </w:rPr>
        <w:t xml:space="preserve">о закупке по запросу предложений</w:t>
      </w:r>
      <w:r>
        <w:rPr>
          <w:sz w:val="22"/>
          <w:szCs w:val="22"/>
          <w:u w:val="none"/>
        </w:rPr>
        <w:t xml:space="preserve"> в электронной форме</w:t>
      </w:r>
      <w:r>
        <w:rPr>
          <w:sz w:val="22"/>
          <w:szCs w:val="22"/>
          <w:u w:val="none"/>
        </w:rPr>
        <w:t xml:space="preserve">, участниками которого могут быть только субъекты малого и среднего предпринимательства,</w:t>
      </w:r>
      <w:r>
        <w:rPr>
          <w:sz w:val="22"/>
          <w:szCs w:val="22"/>
          <w:u w:val="none"/>
        </w:rPr>
        <w:t xml:space="preserve"> на право заключения договора </w:t>
      </w:r>
      <w:r>
        <w:rPr>
          <w:sz w:val="22"/>
          <w:szCs w:val="22"/>
          <w:u w:val="none"/>
        </w:rPr>
        <w:t xml:space="preserve">«</w:t>
      </w:r>
      <w:r>
        <w:rPr>
          <w:sz w:val="22"/>
          <w:szCs w:val="22"/>
          <w:u w:val="none"/>
        </w:rPr>
      </w:r>
      <w:r>
        <w:rPr>
          <w:sz w:val="22"/>
          <w:szCs w:val="22"/>
          <w:u w:val="none"/>
        </w:rPr>
        <w:t xml:space="preserve">ОКПД2: 71.12.19.100 Выполнение проектных работ по объекту «Реконструкция системы гидрозолоудаления энергоблоков ст. № 1,2,3 Нерюнгринской ГРЭС» в рамках реализации инвестиционного проекта Q_505-НГ-16</w:t>
      </w:r>
      <w:r>
        <w:rPr>
          <w:sz w:val="22"/>
          <w:szCs w:val="22"/>
          <w:u w:val="none"/>
        </w:rPr>
        <w:t xml:space="preserve">» Лот №</w:t>
      </w:r>
      <w:r>
        <w:rPr>
          <w:sz w:val="22"/>
          <w:szCs w:val="22"/>
          <w:u w:val="none"/>
          <w:lang w:eastAsia="ru-RU"/>
        </w:rPr>
      </w:r>
      <w:r>
        <w:rPr>
          <w:sz w:val="22"/>
          <w:szCs w:val="22"/>
          <w:u w:val="none"/>
          <w:lang w:eastAsia="ru-RU"/>
        </w:rPr>
        <w:t xml:space="preserve">22123027-ТПИР ОБСЛ-2025-ДГК-НерГРЭС</w:t>
      </w:r>
      <w:r>
        <w:rPr>
          <w:sz w:val="22"/>
          <w:szCs w:val="22"/>
          <w:u w:val="none"/>
          <w:lang w:eastAsia="ru-RU"/>
        </w:rPr>
      </w:r>
      <w:r>
        <w:rPr>
          <w:sz w:val="22"/>
          <w:szCs w:val="22"/>
          <w:u w:val="none"/>
        </w:rPr>
      </w:r>
      <w:r>
        <w:rPr>
          <w:sz w:val="22"/>
          <w:szCs w:val="22"/>
          <w:u w:val="none"/>
          <w14:ligatures w14:val="none"/>
        </w:rPr>
      </w:r>
    </w:p>
    <w:p>
      <w:pPr>
        <w:jc w:val="both"/>
        <w:spacing w:before="0" w:line="240" w:lineRule="auto"/>
        <w:widowControl w:val="off"/>
        <w:rPr>
          <w:sz w:val="24"/>
          <w:szCs w:val="24"/>
        </w:rPr>
      </w:pPr>
      <w:r>
        <w:rPr>
          <w:sz w:val="22"/>
          <w:szCs w:val="22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2"/>
        <w:spacing w:before="0" w:line="240" w:lineRule="auto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Организатор: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Акционерное общество «Дальневосточная генерирующая компания», расположенное по адресу: 680000, г. Хабаровск, ул. Фрунзе, д. 49.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88"/>
        <w:spacing w:before="0"/>
        <w:widowControl w:val="off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 xml:space="preserve">Заказчик:</w:t>
      </w:r>
      <w:r>
        <w:rPr>
          <w:sz w:val="22"/>
          <w:szCs w:val="22"/>
        </w:rPr>
        <w:t xml:space="preserve"> </w:t>
      </w:r>
      <w:r>
        <w:rPr>
          <w:b w:val="0"/>
          <w:sz w:val="22"/>
          <w:szCs w:val="22"/>
        </w:rPr>
        <w:t xml:space="preserve">АО «ДГК»</w:t>
      </w:r>
      <w:r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 xml:space="preserve">СП «Нерюнгринская ГРЭС</w:t>
      </w:r>
      <w:r>
        <w:rPr>
          <w:b w:val="0"/>
          <w:sz w:val="22"/>
          <w:szCs w:val="22"/>
        </w:rPr>
        <w:t xml:space="preserve">».</w:t>
      </w:r>
      <w:r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</w:r>
      <w:r>
        <w:rPr>
          <w:b w:val="0"/>
          <w:sz w:val="22"/>
          <w:szCs w:val="22"/>
        </w:rPr>
      </w:r>
    </w:p>
    <w:p>
      <w:pPr>
        <w:ind w:firstLine="0"/>
        <w:spacing w:line="240" w:lineRule="auto"/>
        <w:widowControl w:val="off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Способ и предмет закупки: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запрос предложений </w:t>
      </w:r>
      <w:r>
        <w:rPr>
          <w:sz w:val="22"/>
          <w:szCs w:val="22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>
        <w:rPr>
          <w:sz w:val="22"/>
          <w:szCs w:val="22"/>
        </w:rPr>
        <w:t xml:space="preserve">«</w:t>
      </w:r>
      <w:r>
        <w:rPr>
          <w:sz w:val="22"/>
          <w:szCs w:val="22"/>
          <w:u w:val="none"/>
        </w:rPr>
      </w:r>
      <w:r>
        <w:rPr>
          <w:sz w:val="22"/>
          <w:szCs w:val="22"/>
          <w:u w:val="none"/>
        </w:rPr>
        <w:t xml:space="preserve">ОКПД2: 71.12.19.100 Выполнение проектных работ по объекту «Реконструкция системы гидрозолоудаления энергоблоков ст. № 1,2,3 Нерюнгринской ГРЭС» в рамках реализации инвестиционного проекта Q_505-НГ-16</w:t>
      </w:r>
      <w:r>
        <w:rPr>
          <w:sz w:val="22"/>
          <w:szCs w:val="22"/>
          <w:u w:val="none"/>
        </w:rPr>
        <w:t xml:space="preserve">» Лот №</w:t>
      </w:r>
      <w:r>
        <w:rPr>
          <w:sz w:val="22"/>
          <w:szCs w:val="22"/>
          <w:u w:val="none"/>
          <w:lang w:eastAsia="ru-RU"/>
        </w:rPr>
      </w:r>
      <w:r>
        <w:rPr>
          <w:sz w:val="22"/>
          <w:szCs w:val="22"/>
          <w:u w:val="none"/>
          <w:lang w:eastAsia="ru-RU"/>
        </w:rPr>
        <w:t xml:space="preserve">22123027-ТПИР ОБСЛ-2025-ДГК-НерГРЭС</w:t>
      </w:r>
      <w:r>
        <w:rPr>
          <w:sz w:val="22"/>
          <w:szCs w:val="22"/>
          <w:u w:val="none"/>
          <w:lang w:eastAsia="ru-RU"/>
        </w:rPr>
      </w:r>
      <w:r>
        <w:rPr>
          <w:sz w:val="22"/>
          <w:szCs w:val="22"/>
        </w:rPr>
      </w:r>
    </w:p>
    <w:p>
      <w:pPr>
        <w:pStyle w:val="872"/>
        <w:spacing w:before="0" w:line="240" w:lineRule="auto"/>
        <w:rPr>
          <w:sz w:val="22"/>
          <w:szCs w:val="22"/>
          <w:highlight w:val="white"/>
        </w:rPr>
      </w:pPr>
      <w:r>
        <w:rPr>
          <w:sz w:val="22"/>
          <w:szCs w:val="22"/>
        </w:rPr>
        <w:t xml:space="preserve">Извещение опубликовано на сайте в информационно-телекоммуникационной сети «Интернет» </w:t>
      </w:r>
      <w:hyperlink r:id="rId11" w:tooltip="http://www.zakupki.gov.ru" w:history="1">
        <w:r>
          <w:rPr>
            <w:b/>
            <w:color w:val="4f81bd" w:themeColor="accent1"/>
            <w:sz w:val="22"/>
            <w:szCs w:val="22"/>
            <w:u w:val="single"/>
          </w:rPr>
          <w:t xml:space="preserve">www.zakupki.gov.ru</w:t>
        </w:r>
      </w:hyperlink>
      <w:r>
        <w:rPr>
          <w:sz w:val="22"/>
          <w:szCs w:val="22"/>
        </w:rPr>
        <w:t xml:space="preserve"> (далее — «официальный сайт») от 30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07.2025г,  № </w:t>
      </w:r>
      <w:r>
        <w:rPr>
          <w:sz w:val="22"/>
          <w:szCs w:val="22"/>
          <w:highlight w:val="white"/>
        </w:rPr>
        <w:t xml:space="preserve">3251082552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872"/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72"/>
        <w:spacing w:before="0" w:line="240" w:lineRule="auto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Внесены следующие изменения в </w:t>
      </w:r>
      <w:r>
        <w:rPr>
          <w:sz w:val="22"/>
          <w:szCs w:val="22"/>
          <w:u w:val="single"/>
        </w:rPr>
        <w:t xml:space="preserve">Документацию о закупке: </w:t>
      </w:r>
      <w:r>
        <w:rPr>
          <w:sz w:val="22"/>
          <w:szCs w:val="22"/>
          <w:u w:val="single"/>
        </w:rPr>
      </w:r>
      <w:r>
        <w:rPr>
          <w:sz w:val="22"/>
          <w:szCs w:val="22"/>
          <w:u w:val="single"/>
        </w:rPr>
      </w:r>
    </w:p>
    <w:p>
      <w:pPr>
        <w:pStyle w:val="872"/>
        <w:numPr>
          <w:ilvl w:val="0"/>
          <w:numId w:val="18"/>
        </w:numPr>
        <w:ind w:left="0" w:firstLine="0"/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Пункт </w:t>
      </w:r>
      <w:r>
        <w:rPr>
          <w:sz w:val="22"/>
          <w:szCs w:val="22"/>
        </w:rPr>
        <w:t xml:space="preserve">1.2.1</w:t>
      </w:r>
      <w:r>
        <w:rPr>
          <w:sz w:val="22"/>
          <w:szCs w:val="22"/>
        </w:rPr>
        <w:t xml:space="preserve">7, 1.2.</w:t>
      </w:r>
      <w:r>
        <w:rPr>
          <w:sz w:val="22"/>
          <w:szCs w:val="22"/>
        </w:rPr>
        <w:t xml:space="preserve">18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1.2.20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1.2.22</w:t>
      </w:r>
      <w:r>
        <w:rPr>
          <w:sz w:val="22"/>
          <w:szCs w:val="22"/>
        </w:rPr>
        <w:t xml:space="preserve">,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1.2.2</w:t>
      </w:r>
      <w:r>
        <w:rPr>
          <w:sz w:val="22"/>
          <w:szCs w:val="22"/>
        </w:rPr>
        <w:t xml:space="preserve">3 </w:t>
      </w:r>
      <w:r>
        <w:rPr>
          <w:sz w:val="22"/>
          <w:szCs w:val="22"/>
        </w:rPr>
        <w:t xml:space="preserve">Закупочной документации читать в следующей редакции:</w:t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3119"/>
        <w:gridCol w:w="5811"/>
      </w:tblGrid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1.2.17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textDirection w:val="lrTb"/>
            <w:noWrap w:val="false"/>
          </w:tcPr>
          <w:p>
            <w:pPr>
              <w:pStyle w:val="88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начала – дата и время окон</w:t>
            </w:r>
            <w:r>
              <w:rPr>
                <w:sz w:val="22"/>
                <w:szCs w:val="22"/>
              </w:rPr>
              <w:t xml:space="preserve">чания срока подачи заявок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1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начала подачи заявок: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«30» июля</w:t>
            </w:r>
            <w:r>
              <w:rPr>
                <w:sz w:val="22"/>
                <w:szCs w:val="22"/>
              </w:rPr>
              <w:t xml:space="preserve"> 2025</w:t>
            </w:r>
            <w:r>
              <w:rPr>
                <w:sz w:val="22"/>
                <w:szCs w:val="22"/>
              </w:rPr>
              <w:t xml:space="preserve">г.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и время окончания срока подачи заявок: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88"/>
              <w:ind w:firstLine="0"/>
              <w:spacing w:before="0"/>
              <w:widowControl w:val="off"/>
              <w:rPr>
                <w:rFonts w:eastAsia="Lucida Sans Unicode"/>
                <w:b w:val="0"/>
                <w:i/>
                <w:sz w:val="22"/>
                <w:szCs w:val="22"/>
                <w:shd w:val="clear" w:color="auto" w:fill="ffff99"/>
              </w:rPr>
            </w:pPr>
            <w:r>
              <w:rPr>
                <w:b w:val="0"/>
                <w:sz w:val="22"/>
                <w:szCs w:val="22"/>
              </w:rPr>
              <w:t xml:space="preserve">«</w:t>
            </w:r>
            <w:r>
              <w:rPr>
                <w:b w:val="0"/>
                <w:sz w:val="22"/>
                <w:szCs w:val="22"/>
              </w:rPr>
              <w:t xml:space="preserve">13» августа </w:t>
            </w:r>
            <w:r>
              <w:rPr>
                <w:b w:val="0"/>
                <w:sz w:val="22"/>
                <w:szCs w:val="22"/>
              </w:rPr>
              <w:t xml:space="preserve">2025</w:t>
            </w:r>
            <w:r>
              <w:rPr>
                <w:b w:val="0"/>
                <w:sz w:val="22"/>
                <w:szCs w:val="22"/>
              </w:rPr>
              <w:t xml:space="preserve">г. в </w:t>
            </w:r>
            <w:r>
              <w:rPr>
                <w:b w:val="0"/>
                <w:sz w:val="22"/>
                <w:szCs w:val="22"/>
              </w:rPr>
              <w:t xml:space="preserve">16 ч. 00 мин.</w:t>
            </w:r>
            <w:r>
              <w:rPr>
                <w:b w:val="0"/>
                <w:sz w:val="22"/>
                <w:szCs w:val="22"/>
              </w:rPr>
              <w:t xml:space="preserve"> </w:t>
            </w:r>
            <w:r>
              <w:rPr>
                <w:b w:val="0"/>
                <w:sz w:val="22"/>
                <w:szCs w:val="22"/>
              </w:rPr>
              <w:t xml:space="preserve">(по местному времени </w:t>
            </w:r>
            <w:r>
              <w:rPr>
                <w:b w:val="0"/>
                <w:sz w:val="22"/>
                <w:szCs w:val="22"/>
              </w:rPr>
              <w:t xml:space="preserve">О</w:t>
            </w:r>
            <w:r>
              <w:rPr>
                <w:b w:val="0"/>
                <w:sz w:val="22"/>
                <w:szCs w:val="22"/>
              </w:rPr>
              <w:t xml:space="preserve">рганизатора)</w:t>
            </w:r>
            <w:r>
              <w:rPr>
                <w:b w:val="0"/>
                <w:sz w:val="22"/>
                <w:szCs w:val="22"/>
              </w:rPr>
              <w:t xml:space="preserve"> </w:t>
            </w:r>
            <w:r>
              <w:rPr>
                <w:rFonts w:eastAsia="Lucida Sans Unicode"/>
                <w:b w:val="0"/>
                <w:i/>
                <w:sz w:val="22"/>
                <w:szCs w:val="22"/>
                <w:shd w:val="clear" w:color="auto" w:fill="ffff99"/>
              </w:rPr>
            </w:r>
            <w:r>
              <w:rPr>
                <w:rFonts w:eastAsia="Lucida Sans Unicode"/>
                <w:b w:val="0"/>
                <w:i/>
                <w:sz w:val="22"/>
                <w:szCs w:val="22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1.2.18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vMerge w:val="restart"/>
            <w:textDirection w:val="lrTb"/>
            <w:noWrap w:val="false"/>
          </w:tcPr>
          <w:p>
            <w:pPr>
              <w:pStyle w:val="88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предоставления Участникам разъяснений по Документации о закупке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11" w:type="dxa"/>
            <w:vMerge w:val="restart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i/>
                <w:sz w:val="22"/>
                <w:szCs w:val="22"/>
                <w:shd w:val="clear" w:color="auto" w:fill="ffff99"/>
              </w:rPr>
            </w:pPr>
            <w:r>
              <w:rPr>
                <w:sz w:val="22"/>
                <w:szCs w:val="22"/>
              </w:rPr>
              <w:t xml:space="preserve">Дата и время окончания срока предоставления разъяснений: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«</w:t>
            </w:r>
            <w:r>
              <w:rPr>
                <w:sz w:val="22"/>
                <w:szCs w:val="22"/>
              </w:rPr>
              <w:t xml:space="preserve">13» августа</w:t>
            </w:r>
            <w:r>
              <w:rPr>
                <w:sz w:val="22"/>
                <w:szCs w:val="22"/>
              </w:rPr>
              <w:t xml:space="preserve"> 2025</w:t>
            </w:r>
            <w:r>
              <w:rPr>
                <w:sz w:val="22"/>
                <w:szCs w:val="22"/>
              </w:rPr>
              <w:t xml:space="preserve"> г. в 16 ч. 00 мин. </w:t>
            </w:r>
            <w:r>
              <w:rPr>
                <w:i/>
                <w:sz w:val="22"/>
                <w:szCs w:val="22"/>
                <w:shd w:val="clear" w:color="auto" w:fill="ffff99"/>
              </w:rPr>
            </w:r>
            <w:r>
              <w:rPr>
                <w:i/>
                <w:sz w:val="22"/>
                <w:szCs w:val="22"/>
                <w:shd w:val="clear" w:color="auto" w:fill="ffff99"/>
              </w:rPr>
            </w:r>
          </w:p>
          <w:p>
            <w:pPr>
              <w:ind w:firstLine="0"/>
              <w:spacing w:line="240" w:lineRule="auto"/>
              <w:rPr>
                <w:b/>
                <w:i/>
                <w:sz w:val="22"/>
                <w:szCs w:val="22"/>
                <w:shd w:val="clear" w:color="auto" w:fill="ffff99"/>
              </w:rPr>
            </w:pPr>
            <w:r>
              <w:rPr>
                <w:sz w:val="22"/>
                <w:szCs w:val="22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</w:t>
            </w:r>
            <w:r>
              <w:rPr>
                <w:sz w:val="22"/>
                <w:szCs w:val="22"/>
              </w:rPr>
              <w:t xml:space="preserve"> 1.2.17.</w:t>
            </w:r>
            <w:r>
              <w:rPr>
                <w:b/>
                <w:i/>
                <w:sz w:val="22"/>
                <w:szCs w:val="22"/>
                <w:shd w:val="clear" w:color="auto" w:fill="ffff99"/>
              </w:rPr>
            </w:r>
            <w:r>
              <w:rPr>
                <w:b/>
                <w:i/>
                <w:sz w:val="22"/>
                <w:szCs w:val="22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1.2.20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textDirection w:val="lrTb"/>
            <w:noWrap w:val="false"/>
          </w:tcPr>
          <w:p>
            <w:pPr>
              <w:pStyle w:val="88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рассмотрения первых ча</w:t>
            </w:r>
            <w:r>
              <w:rPr>
                <w:sz w:val="22"/>
                <w:szCs w:val="22"/>
              </w:rPr>
              <w:t xml:space="preserve">стей заявок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11" w:type="dxa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окончания рассмотрения первых частей заявок (первых частей окончательных предложений Участников):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 xml:space="preserve">«20» августа</w:t>
            </w:r>
            <w:r>
              <w:rPr>
                <w:sz w:val="22"/>
                <w:szCs w:val="22"/>
              </w:rPr>
              <w:t xml:space="preserve"> 2025</w:t>
            </w:r>
            <w:r>
              <w:rPr>
                <w:sz w:val="22"/>
                <w:szCs w:val="22"/>
              </w:rPr>
              <w:t xml:space="preserve">г.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1.2.22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textDirection w:val="lrTb"/>
            <w:noWrap w:val="false"/>
          </w:tcPr>
          <w:p>
            <w:pPr>
              <w:pStyle w:val="88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рассмотрения вторых часте</w:t>
            </w:r>
            <w:r>
              <w:rPr>
                <w:sz w:val="22"/>
                <w:szCs w:val="22"/>
              </w:rPr>
              <w:t xml:space="preserve">й заявок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11" w:type="dxa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окончания рассмотрения вторых частей</w:t>
            </w:r>
            <w:r>
              <w:rPr>
                <w:sz w:val="22"/>
                <w:szCs w:val="22"/>
              </w:rPr>
              <w:t xml:space="preserve"> заявок: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88"/>
              <w:spacing w:before="0"/>
              <w:widowControl w:val="off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«27» августа</w:t>
            </w:r>
            <w:r>
              <w:rPr>
                <w:b w:val="0"/>
                <w:sz w:val="22"/>
                <w:szCs w:val="22"/>
              </w:rPr>
              <w:t xml:space="preserve"> 2025</w:t>
            </w:r>
            <w:r>
              <w:rPr>
                <w:b w:val="0"/>
                <w:sz w:val="22"/>
                <w:szCs w:val="22"/>
              </w:rPr>
              <w:t xml:space="preserve">г.</w:t>
            </w:r>
            <w:r>
              <w:rPr>
                <w:b w:val="0"/>
                <w:sz w:val="22"/>
                <w:szCs w:val="22"/>
              </w:rPr>
            </w:r>
            <w:r>
              <w:rPr>
                <w:b w:val="0"/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1.2.23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textDirection w:val="lrTb"/>
            <w:noWrap w:val="false"/>
          </w:tcPr>
          <w:p>
            <w:pPr>
              <w:pStyle w:val="88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подведения итогов закупки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1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подведения итогов закупки:</w:t>
            </w:r>
            <w:r>
              <w:rPr>
                <w:sz w:val="22"/>
                <w:szCs w:val="22"/>
              </w:rPr>
              <w:t xml:space="preserve"> «27» августа</w:t>
            </w:r>
            <w:r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 xml:space="preserve">5 г.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872"/>
        <w:spacing w:before="0" w:line="240" w:lineRule="auto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</w:r>
      <w:r>
        <w:rPr>
          <w:sz w:val="22"/>
          <w:szCs w:val="22"/>
          <w:u w:val="single"/>
        </w:rPr>
      </w:r>
      <w:r>
        <w:rPr>
          <w:sz w:val="22"/>
          <w:szCs w:val="22"/>
          <w:u w:val="single"/>
        </w:rPr>
      </w:r>
    </w:p>
    <w:p>
      <w:pPr>
        <w:pStyle w:val="872"/>
        <w:spacing w:before="0" w:line="240" w:lineRule="auto"/>
        <w:rPr>
          <w:b/>
          <w:sz w:val="20"/>
          <w:szCs w:val="20"/>
          <w:u w:val="single"/>
        </w:rPr>
      </w:pPr>
      <w:r>
        <w:rPr>
          <w:b/>
          <w:sz w:val="22"/>
          <w:szCs w:val="22"/>
        </w:rPr>
        <w:t xml:space="preserve">Все остальные условия Извещения и </w:t>
      </w:r>
      <w:r>
        <w:rPr>
          <w:b/>
          <w:sz w:val="22"/>
          <w:szCs w:val="22"/>
        </w:rPr>
        <w:t xml:space="preserve">Документации о закупке</w:t>
      </w:r>
      <w:r>
        <w:rPr>
          <w:b/>
          <w:sz w:val="22"/>
          <w:szCs w:val="22"/>
        </w:rPr>
        <w:t xml:space="preserve"> остаются без изменения</w:t>
      </w:r>
      <w:r>
        <w:rPr>
          <w:b/>
          <w:sz w:val="20"/>
          <w:szCs w:val="20"/>
          <w:u w:val="single"/>
        </w:rPr>
      </w:r>
      <w:r>
        <w:rPr>
          <w:b/>
          <w:sz w:val="20"/>
          <w:szCs w:val="20"/>
          <w:u w:val="single"/>
        </w:rPr>
      </w:r>
    </w:p>
    <w:p>
      <w:pPr>
        <w:ind w:firstLine="0"/>
        <w:spacing w:line="240" w:lineRule="auto"/>
        <w:shd w:val="clear" w:color="ffffff" w:themeColor="background1" w:fill="ffffff" w:themeFill="background1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pStyle w:val="872"/>
        <w:spacing w:before="0" w:line="240" w:lineRule="auto"/>
        <w:rPr>
          <w:sz w:val="22"/>
          <w:szCs w:val="22"/>
          <w14:ligatures w14:val="none"/>
        </w:rPr>
      </w:pPr>
      <w:r>
        <w:rPr>
          <w:sz w:val="22"/>
          <w:szCs w:val="22"/>
          <w:lang w:eastAsia="en-US"/>
        </w:rPr>
        <w:t xml:space="preserve">Корнева О.А.</w:t>
      </w:r>
      <w:r>
        <w:rPr>
          <w:sz w:val="22"/>
          <w:szCs w:val="22"/>
          <w14:ligatures w14:val="none"/>
        </w:rPr>
      </w:r>
      <w:r>
        <w:rPr>
          <w:sz w:val="22"/>
          <w:szCs w:val="22"/>
          <w14:ligatures w14:val="none"/>
        </w:rPr>
      </w:r>
    </w:p>
    <w:p>
      <w:pPr>
        <w:pStyle w:val="872"/>
        <w:spacing w:before="0" w:line="240" w:lineRule="auto"/>
        <w:rPr>
          <w:sz w:val="22"/>
          <w:szCs w:val="22"/>
          <w14:ligatures w14:val="none"/>
        </w:rPr>
      </w:pPr>
      <w:r>
        <w:rPr>
          <w:sz w:val="22"/>
          <w:szCs w:val="22"/>
          <w:lang w:eastAsia="en-US"/>
        </w:rPr>
        <w:t xml:space="preserve">26-46-23</w:t>
      </w:r>
      <w:bookmarkStart w:id="0" w:name="_GoBack"/>
      <w:r>
        <w:rPr>
          <w:sz w:val="22"/>
          <w:szCs w:val="22"/>
        </w:rPr>
      </w:r>
      <w:bookmarkEnd w:id="0"/>
      <w:r>
        <w:rPr>
          <w:sz w:val="22"/>
          <w:szCs w:val="22"/>
          <w14:ligatures w14:val="none"/>
        </w:rPr>
      </w:r>
      <w:r>
        <w:rPr>
          <w:sz w:val="22"/>
          <w:szCs w:val="22"/>
          <w14:ligatures w14:val="none"/>
        </w:rPr>
      </w:r>
    </w:p>
    <w:sectPr>
      <w:footnotePr/>
      <w:endnotePr/>
      <w:type w:val="nextPage"/>
      <w:pgSz w:w="11906" w:h="16838" w:orient="portrait"/>
      <w:pgMar w:top="284" w:right="851" w:bottom="567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Lucida Sans Unicode">
    <w:panose1 w:val="020B0603030804020204"/>
  </w:font>
  <w:font w:name="avenirnextcyr-bold">
    <w:panose1 w:val="02000603000000000000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rFonts w:hint="default"/>
        <w:b w:val="0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/>
      </w:r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pStyle w:val="873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2">
      <w:start w:val="1"/>
      <w:numFmt w:val="decimal"/>
      <w:pStyle w:val="865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decimal"/>
      <w:pStyle w:val="866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76" w:hanging="1134"/>
        <w:tabs>
          <w:tab w:val="num" w:pos="1276" w:leader="none"/>
        </w:tabs>
      </w:pPr>
      <w:rPr>
        <w:rFonts w:hint="default"/>
        <w:b w:val="0"/>
        <w:i w:val="0"/>
        <w:sz w:val="28"/>
        <w:szCs w:val="28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4">
      <w:start w:val="1"/>
      <w:numFmt w:val="russianLower"/>
      <w:isLgl w:val="false"/>
      <w:suff w:val="tab"/>
      <w:lvlText w:val="%5)"/>
      <w:lvlJc w:val="left"/>
      <w:pPr>
        <w:ind w:left="1844" w:hanging="567"/>
        <w:tabs>
          <w:tab w:val="num" w:pos="1844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rFonts w:hint="default" w:ascii="Times New Roman" w:hAnsi="Times New Roman" w:eastAsia="Times New Roman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  <w:color w:val="auto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  <w:i w:val="0"/>
        <w:color w:val="auto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  <w:i w:val="0"/>
        <w:color w:val="auto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4"/>
  </w:num>
  <w:num w:numId="4">
    <w:abstractNumId w:val="5"/>
  </w:num>
  <w:num w:numId="5">
    <w:abstractNumId w:val="14"/>
  </w:num>
  <w:num w:numId="6">
    <w:abstractNumId w:val="3"/>
  </w:num>
  <w:num w:numId="7">
    <w:abstractNumId w:val="9"/>
  </w:num>
  <w:num w:numId="8">
    <w:abstractNumId w:val="12"/>
  </w:num>
  <w:num w:numId="9">
    <w:abstractNumId w:val="0"/>
  </w:num>
  <w:num w:numId="10">
    <w:abstractNumId w:val="11"/>
  </w:num>
  <w:num w:numId="11">
    <w:abstractNumId w:val="2"/>
  </w:num>
  <w:num w:numId="12">
    <w:abstractNumId w:val="6"/>
  </w:num>
  <w:num w:numId="13">
    <w:abstractNumId w:val="7"/>
  </w:num>
  <w:num w:numId="14">
    <w:abstractNumId w:val="13"/>
  </w:num>
  <w:num w:numId="15">
    <w:abstractNumId w:val="8"/>
  </w:num>
  <w:num w:numId="16">
    <w:abstractNumId w:val="10"/>
  </w:num>
  <w:num w:numId="17">
    <w:abstractNumId w:val="15"/>
  </w:num>
  <w:num w:numId="18">
    <w:abstractNumId w:val="16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1">
    <w:name w:val="Heading 1 Char"/>
    <w:basedOn w:val="867"/>
    <w:link w:val="863"/>
    <w:uiPriority w:val="9"/>
    <w:rPr>
      <w:rFonts w:ascii="Arial" w:hAnsi="Arial" w:eastAsia="Arial" w:cs="Arial"/>
      <w:sz w:val="40"/>
      <w:szCs w:val="40"/>
    </w:rPr>
  </w:style>
  <w:style w:type="character" w:styleId="692">
    <w:name w:val="Heading 2 Char"/>
    <w:basedOn w:val="867"/>
    <w:link w:val="864"/>
    <w:uiPriority w:val="9"/>
    <w:rPr>
      <w:rFonts w:ascii="Arial" w:hAnsi="Arial" w:eastAsia="Arial" w:cs="Arial"/>
      <w:sz w:val="34"/>
    </w:rPr>
  </w:style>
  <w:style w:type="character" w:styleId="693">
    <w:name w:val="Heading 3 Char"/>
    <w:basedOn w:val="867"/>
    <w:link w:val="865"/>
    <w:uiPriority w:val="9"/>
    <w:rPr>
      <w:rFonts w:ascii="Arial" w:hAnsi="Arial" w:eastAsia="Arial" w:cs="Arial"/>
      <w:sz w:val="30"/>
      <w:szCs w:val="30"/>
    </w:rPr>
  </w:style>
  <w:style w:type="character" w:styleId="694">
    <w:name w:val="Heading 4 Char"/>
    <w:basedOn w:val="867"/>
    <w:link w:val="866"/>
    <w:uiPriority w:val="9"/>
    <w:rPr>
      <w:rFonts w:ascii="Arial" w:hAnsi="Arial" w:eastAsia="Arial" w:cs="Arial"/>
      <w:b/>
      <w:bCs/>
      <w:sz w:val="26"/>
      <w:szCs w:val="26"/>
    </w:rPr>
  </w:style>
  <w:style w:type="paragraph" w:styleId="695">
    <w:name w:val="Heading 5"/>
    <w:basedOn w:val="862"/>
    <w:next w:val="862"/>
    <w:link w:val="69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6">
    <w:name w:val="Heading 5 Char"/>
    <w:basedOn w:val="867"/>
    <w:link w:val="695"/>
    <w:uiPriority w:val="9"/>
    <w:rPr>
      <w:rFonts w:ascii="Arial" w:hAnsi="Arial" w:eastAsia="Arial" w:cs="Arial"/>
      <w:b/>
      <w:bCs/>
      <w:sz w:val="24"/>
      <w:szCs w:val="24"/>
    </w:rPr>
  </w:style>
  <w:style w:type="paragraph" w:styleId="697">
    <w:name w:val="Heading 6"/>
    <w:basedOn w:val="862"/>
    <w:next w:val="862"/>
    <w:link w:val="69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8">
    <w:name w:val="Heading 6 Char"/>
    <w:basedOn w:val="867"/>
    <w:link w:val="697"/>
    <w:uiPriority w:val="9"/>
    <w:rPr>
      <w:rFonts w:ascii="Arial" w:hAnsi="Arial" w:eastAsia="Arial" w:cs="Arial"/>
      <w:b/>
      <w:bCs/>
      <w:sz w:val="22"/>
      <w:szCs w:val="22"/>
    </w:rPr>
  </w:style>
  <w:style w:type="paragraph" w:styleId="699">
    <w:name w:val="Heading 7"/>
    <w:basedOn w:val="862"/>
    <w:next w:val="862"/>
    <w:link w:val="70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0">
    <w:name w:val="Heading 7 Char"/>
    <w:basedOn w:val="867"/>
    <w:link w:val="69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1">
    <w:name w:val="Heading 8"/>
    <w:basedOn w:val="862"/>
    <w:next w:val="862"/>
    <w:link w:val="70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2">
    <w:name w:val="Heading 8 Char"/>
    <w:basedOn w:val="867"/>
    <w:link w:val="701"/>
    <w:uiPriority w:val="9"/>
    <w:rPr>
      <w:rFonts w:ascii="Arial" w:hAnsi="Arial" w:eastAsia="Arial" w:cs="Arial"/>
      <w:i/>
      <w:iCs/>
      <w:sz w:val="22"/>
      <w:szCs w:val="22"/>
    </w:rPr>
  </w:style>
  <w:style w:type="paragraph" w:styleId="703">
    <w:name w:val="Heading 9"/>
    <w:basedOn w:val="862"/>
    <w:next w:val="862"/>
    <w:link w:val="70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4">
    <w:name w:val="Heading 9 Char"/>
    <w:basedOn w:val="867"/>
    <w:link w:val="703"/>
    <w:uiPriority w:val="9"/>
    <w:rPr>
      <w:rFonts w:ascii="Arial" w:hAnsi="Arial" w:eastAsia="Arial" w:cs="Arial"/>
      <w:i/>
      <w:iCs/>
      <w:sz w:val="21"/>
      <w:szCs w:val="21"/>
    </w:rPr>
  </w:style>
  <w:style w:type="paragraph" w:styleId="705">
    <w:name w:val="No Spacing"/>
    <w:uiPriority w:val="1"/>
    <w:qFormat/>
    <w:pPr>
      <w:spacing w:before="0" w:after="0" w:line="240" w:lineRule="auto"/>
    </w:pPr>
  </w:style>
  <w:style w:type="paragraph" w:styleId="706">
    <w:name w:val="Title"/>
    <w:basedOn w:val="862"/>
    <w:next w:val="862"/>
    <w:link w:val="70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7">
    <w:name w:val="Title Char"/>
    <w:basedOn w:val="867"/>
    <w:link w:val="706"/>
    <w:uiPriority w:val="10"/>
    <w:rPr>
      <w:sz w:val="48"/>
      <w:szCs w:val="48"/>
    </w:rPr>
  </w:style>
  <w:style w:type="paragraph" w:styleId="708">
    <w:name w:val="Subtitle"/>
    <w:basedOn w:val="862"/>
    <w:next w:val="862"/>
    <w:link w:val="709"/>
    <w:uiPriority w:val="11"/>
    <w:qFormat/>
    <w:pPr>
      <w:spacing w:before="200" w:after="200"/>
    </w:pPr>
    <w:rPr>
      <w:sz w:val="24"/>
      <w:szCs w:val="24"/>
    </w:rPr>
  </w:style>
  <w:style w:type="character" w:styleId="709">
    <w:name w:val="Subtitle Char"/>
    <w:basedOn w:val="867"/>
    <w:link w:val="708"/>
    <w:uiPriority w:val="11"/>
    <w:rPr>
      <w:sz w:val="24"/>
      <w:szCs w:val="24"/>
    </w:rPr>
  </w:style>
  <w:style w:type="paragraph" w:styleId="710">
    <w:name w:val="Quote"/>
    <w:basedOn w:val="862"/>
    <w:next w:val="862"/>
    <w:link w:val="711"/>
    <w:uiPriority w:val="29"/>
    <w:qFormat/>
    <w:pPr>
      <w:ind w:left="720" w:right="720"/>
    </w:pPr>
    <w:rPr>
      <w:i/>
    </w:rPr>
  </w:style>
  <w:style w:type="character" w:styleId="711">
    <w:name w:val="Quote Char"/>
    <w:link w:val="710"/>
    <w:uiPriority w:val="29"/>
    <w:rPr>
      <w:i/>
    </w:rPr>
  </w:style>
  <w:style w:type="paragraph" w:styleId="712">
    <w:name w:val="Intense Quote"/>
    <w:basedOn w:val="862"/>
    <w:next w:val="862"/>
    <w:link w:val="71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3">
    <w:name w:val="Intense Quote Char"/>
    <w:link w:val="712"/>
    <w:uiPriority w:val="30"/>
    <w:rPr>
      <w:i/>
    </w:rPr>
  </w:style>
  <w:style w:type="paragraph" w:styleId="714">
    <w:name w:val="Header"/>
    <w:basedOn w:val="862"/>
    <w:link w:val="71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5">
    <w:name w:val="Header Char"/>
    <w:basedOn w:val="867"/>
    <w:link w:val="714"/>
    <w:uiPriority w:val="99"/>
  </w:style>
  <w:style w:type="paragraph" w:styleId="716">
    <w:name w:val="Footer"/>
    <w:basedOn w:val="862"/>
    <w:link w:val="71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7">
    <w:name w:val="Footer Char"/>
    <w:basedOn w:val="867"/>
    <w:link w:val="716"/>
    <w:uiPriority w:val="99"/>
  </w:style>
  <w:style w:type="paragraph" w:styleId="718">
    <w:name w:val="Caption"/>
    <w:basedOn w:val="862"/>
    <w:next w:val="862"/>
    <w:link w:val="7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9">
    <w:name w:val="Caption Char"/>
    <w:basedOn w:val="718"/>
    <w:link w:val="716"/>
    <w:uiPriority w:val="99"/>
  </w:style>
  <w:style w:type="table" w:styleId="720">
    <w:name w:val="Table Grid"/>
    <w:basedOn w:val="86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1">
    <w:name w:val="Table Grid Light"/>
    <w:basedOn w:val="86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2">
    <w:name w:val="Plain Table 1"/>
    <w:basedOn w:val="86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3">
    <w:name w:val="Plain Table 2"/>
    <w:basedOn w:val="86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>
    <w:name w:val="Plain Table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5">
    <w:name w:val="Plain Table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Plain Table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7">
    <w:name w:val="Grid Table 1 Light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4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9">
    <w:name w:val="Grid Table 4 - Accent 1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0">
    <w:name w:val="Grid Table 4 - Accent 2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1">
    <w:name w:val="Grid Table 4 - Accent 3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2">
    <w:name w:val="Grid Table 4 - Accent 4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3">
    <w:name w:val="Grid Table 4 - Accent 5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4">
    <w:name w:val="Grid Table 4 - Accent 6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5">
    <w:name w:val="Grid Table 5 Dark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6">
    <w:name w:val="Grid Table 5 Dark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9">
    <w:name w:val="Grid Table 5 Dark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2">
    <w:name w:val="Grid Table 6 Colorful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3">
    <w:name w:val="Grid Table 6 Colorful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4">
    <w:name w:val="Grid Table 6 Colorful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5">
    <w:name w:val="Grid Table 6 Colorful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6">
    <w:name w:val="Grid Table 6 Colorful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7">
    <w:name w:val="Grid Table 6 Colorful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8">
    <w:name w:val="Grid Table 6 Colorful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9">
    <w:name w:val="Grid Table 7 Colorful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4">
    <w:name w:val="List Table 2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5">
    <w:name w:val="List Table 2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6">
    <w:name w:val="List Table 2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7">
    <w:name w:val="List Table 2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8">
    <w:name w:val="List Table 2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9">
    <w:name w:val="List Table 2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0">
    <w:name w:val="List Table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5 Dark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6 Colorful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2">
    <w:name w:val="List Table 6 Colorful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3">
    <w:name w:val="List Table 6 Colorful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4">
    <w:name w:val="List Table 6 Colorful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5">
    <w:name w:val="List Table 6 Colorful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6">
    <w:name w:val="List Table 6 Colorful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7">
    <w:name w:val="List Table 6 Colorful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8">
    <w:name w:val="List Table 7 Colorful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9">
    <w:name w:val="List Table 7 Colorful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0">
    <w:name w:val="List Table 7 Colorful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1">
    <w:name w:val="List Table 7 Colorful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2">
    <w:name w:val="List Table 7 Colorful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3">
    <w:name w:val="List Table 7 Colorful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4">
    <w:name w:val="List Table 7 Colorful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5">
    <w:name w:val="Lined - Accent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6">
    <w:name w:val="Lined - Accent 1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7">
    <w:name w:val="Lined - Accent 2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8">
    <w:name w:val="Lined - Accent 3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9">
    <w:name w:val="Lined - Accent 4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0">
    <w:name w:val="Lined - Accent 5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1">
    <w:name w:val="Lined - Accent 6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2">
    <w:name w:val="Bordered &amp; Lined - Accent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3">
    <w:name w:val="Bordered &amp; Lined - Accent 1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4">
    <w:name w:val="Bordered &amp; Lined - Accent 2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5">
    <w:name w:val="Bordered &amp; Lined - Accent 3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6">
    <w:name w:val="Bordered &amp; Lined - Accent 4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7">
    <w:name w:val="Bordered &amp; Lined - Accent 5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8">
    <w:name w:val="Bordered &amp; Lined - Accent 6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9">
    <w:name w:val="Bordered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0">
    <w:name w:val="Bordered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1">
    <w:name w:val="Bordered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2">
    <w:name w:val="Bordered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3">
    <w:name w:val="Bordered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4">
    <w:name w:val="Bordered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5">
    <w:name w:val="Bordered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46">
    <w:name w:val="footnote text"/>
    <w:basedOn w:val="862"/>
    <w:link w:val="847"/>
    <w:uiPriority w:val="99"/>
    <w:semiHidden/>
    <w:unhideWhenUsed/>
    <w:pPr>
      <w:spacing w:after="40" w:line="240" w:lineRule="auto"/>
    </w:pPr>
    <w:rPr>
      <w:sz w:val="18"/>
    </w:rPr>
  </w:style>
  <w:style w:type="character" w:styleId="847">
    <w:name w:val="Footnote Text Char"/>
    <w:link w:val="846"/>
    <w:uiPriority w:val="99"/>
    <w:rPr>
      <w:sz w:val="18"/>
    </w:rPr>
  </w:style>
  <w:style w:type="character" w:styleId="848">
    <w:name w:val="footnote reference"/>
    <w:basedOn w:val="867"/>
    <w:uiPriority w:val="99"/>
    <w:unhideWhenUsed/>
    <w:rPr>
      <w:vertAlign w:val="superscript"/>
    </w:rPr>
  </w:style>
  <w:style w:type="paragraph" w:styleId="849">
    <w:name w:val="endnote text"/>
    <w:basedOn w:val="862"/>
    <w:link w:val="850"/>
    <w:uiPriority w:val="99"/>
    <w:semiHidden/>
    <w:unhideWhenUsed/>
    <w:pPr>
      <w:spacing w:after="0" w:line="240" w:lineRule="auto"/>
    </w:pPr>
    <w:rPr>
      <w:sz w:val="20"/>
    </w:rPr>
  </w:style>
  <w:style w:type="character" w:styleId="850">
    <w:name w:val="Endnote Text Char"/>
    <w:link w:val="849"/>
    <w:uiPriority w:val="99"/>
    <w:rPr>
      <w:sz w:val="20"/>
    </w:rPr>
  </w:style>
  <w:style w:type="character" w:styleId="851">
    <w:name w:val="endnote reference"/>
    <w:basedOn w:val="867"/>
    <w:uiPriority w:val="99"/>
    <w:semiHidden/>
    <w:unhideWhenUsed/>
    <w:rPr>
      <w:vertAlign w:val="superscript"/>
    </w:rPr>
  </w:style>
  <w:style w:type="paragraph" w:styleId="852">
    <w:name w:val="toc 1"/>
    <w:basedOn w:val="862"/>
    <w:next w:val="862"/>
    <w:uiPriority w:val="39"/>
    <w:unhideWhenUsed/>
    <w:pPr>
      <w:ind w:left="0" w:right="0" w:firstLine="0"/>
      <w:spacing w:after="57"/>
    </w:pPr>
  </w:style>
  <w:style w:type="paragraph" w:styleId="853">
    <w:name w:val="toc 2"/>
    <w:basedOn w:val="862"/>
    <w:next w:val="862"/>
    <w:uiPriority w:val="39"/>
    <w:unhideWhenUsed/>
    <w:pPr>
      <w:ind w:left="283" w:right="0" w:firstLine="0"/>
      <w:spacing w:after="57"/>
    </w:pPr>
  </w:style>
  <w:style w:type="paragraph" w:styleId="854">
    <w:name w:val="toc 3"/>
    <w:basedOn w:val="862"/>
    <w:next w:val="862"/>
    <w:uiPriority w:val="39"/>
    <w:unhideWhenUsed/>
    <w:pPr>
      <w:ind w:left="567" w:right="0" w:firstLine="0"/>
      <w:spacing w:after="57"/>
    </w:pPr>
  </w:style>
  <w:style w:type="paragraph" w:styleId="855">
    <w:name w:val="toc 4"/>
    <w:basedOn w:val="862"/>
    <w:next w:val="862"/>
    <w:uiPriority w:val="39"/>
    <w:unhideWhenUsed/>
    <w:pPr>
      <w:ind w:left="850" w:right="0" w:firstLine="0"/>
      <w:spacing w:after="57"/>
    </w:pPr>
  </w:style>
  <w:style w:type="paragraph" w:styleId="856">
    <w:name w:val="toc 5"/>
    <w:basedOn w:val="862"/>
    <w:next w:val="862"/>
    <w:uiPriority w:val="39"/>
    <w:unhideWhenUsed/>
    <w:pPr>
      <w:ind w:left="1134" w:right="0" w:firstLine="0"/>
      <w:spacing w:after="57"/>
    </w:pPr>
  </w:style>
  <w:style w:type="paragraph" w:styleId="857">
    <w:name w:val="toc 7"/>
    <w:basedOn w:val="862"/>
    <w:next w:val="862"/>
    <w:uiPriority w:val="39"/>
    <w:unhideWhenUsed/>
    <w:pPr>
      <w:ind w:left="1701" w:right="0" w:firstLine="0"/>
      <w:spacing w:after="57"/>
    </w:pPr>
  </w:style>
  <w:style w:type="paragraph" w:styleId="858">
    <w:name w:val="toc 8"/>
    <w:basedOn w:val="862"/>
    <w:next w:val="862"/>
    <w:uiPriority w:val="39"/>
    <w:unhideWhenUsed/>
    <w:pPr>
      <w:ind w:left="1984" w:right="0" w:firstLine="0"/>
      <w:spacing w:after="57"/>
    </w:pPr>
  </w:style>
  <w:style w:type="paragraph" w:styleId="859">
    <w:name w:val="toc 9"/>
    <w:basedOn w:val="862"/>
    <w:next w:val="862"/>
    <w:uiPriority w:val="39"/>
    <w:unhideWhenUsed/>
    <w:pPr>
      <w:ind w:left="2268" w:right="0" w:firstLine="0"/>
      <w:spacing w:after="57"/>
    </w:pPr>
  </w:style>
  <w:style w:type="paragraph" w:styleId="860">
    <w:name w:val="TOC Heading"/>
    <w:uiPriority w:val="39"/>
    <w:unhideWhenUsed/>
  </w:style>
  <w:style w:type="paragraph" w:styleId="861">
    <w:name w:val="table of figures"/>
    <w:basedOn w:val="862"/>
    <w:next w:val="862"/>
    <w:uiPriority w:val="99"/>
    <w:unhideWhenUsed/>
    <w:pPr>
      <w:spacing w:after="0" w:afterAutospacing="0"/>
    </w:pPr>
  </w:style>
  <w:style w:type="paragraph" w:styleId="862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863">
    <w:name w:val="Heading 1"/>
    <w:basedOn w:val="862"/>
    <w:next w:val="862"/>
    <w:link w:val="874"/>
    <w:qFormat/>
    <w:pPr>
      <w:keepLines/>
      <w:keepNext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Cs w:val="28"/>
    </w:rPr>
  </w:style>
  <w:style w:type="paragraph" w:styleId="864">
    <w:name w:val="Heading 2"/>
    <w:basedOn w:val="862"/>
    <w:next w:val="862"/>
    <w:link w:val="877"/>
    <w:qFormat/>
    <w:pPr>
      <w:ind w:left="1134" w:hanging="1134"/>
      <w:jc w:val="left"/>
      <w:keepNext/>
      <w:spacing w:before="360" w:after="120" w:line="240" w:lineRule="auto"/>
      <w:tabs>
        <w:tab w:val="num" w:pos="1134" w:leader="none"/>
      </w:tabs>
      <w:outlineLvl w:val="1"/>
    </w:pPr>
    <w:rPr>
      <w:b/>
      <w:sz w:val="32"/>
    </w:rPr>
  </w:style>
  <w:style w:type="paragraph" w:styleId="865">
    <w:name w:val="Heading 3"/>
    <w:basedOn w:val="862"/>
    <w:next w:val="862"/>
    <w:link w:val="870"/>
    <w:qFormat/>
    <w:pPr>
      <w:numPr>
        <w:ilvl w:val="2"/>
        <w:numId w:val="1"/>
      </w:numPr>
      <w:jc w:val="left"/>
      <w:keepNext/>
      <w:spacing w:before="120" w:after="120" w:line="240" w:lineRule="auto"/>
      <w:outlineLvl w:val="2"/>
    </w:pPr>
    <w:rPr>
      <w:b/>
    </w:rPr>
  </w:style>
  <w:style w:type="paragraph" w:styleId="866">
    <w:name w:val="Heading 4"/>
    <w:basedOn w:val="862"/>
    <w:next w:val="862"/>
    <w:link w:val="871"/>
    <w:qFormat/>
    <w:pPr>
      <w:numPr>
        <w:ilvl w:val="3"/>
        <w:numId w:val="1"/>
      </w:numPr>
      <w:ind w:left="1134"/>
      <w:keepNext/>
      <w:spacing w:before="240" w:after="120" w:line="240" w:lineRule="auto"/>
      <w:tabs>
        <w:tab w:val="num" w:pos="1134" w:leader="none"/>
        <w:tab w:val="clear" w:pos="1701" w:leader="none"/>
      </w:tabs>
      <w:outlineLvl w:val="3"/>
    </w:pPr>
    <w:rPr>
      <w:b/>
      <w:i/>
    </w:rPr>
  </w:style>
  <w:style w:type="character" w:styleId="867" w:default="1">
    <w:name w:val="Default Paragraph Font"/>
    <w:uiPriority w:val="1"/>
    <w:semiHidden/>
    <w:unhideWhenUsed/>
  </w:style>
  <w:style w:type="table" w:styleId="86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9" w:default="1">
    <w:name w:val="No List"/>
    <w:uiPriority w:val="99"/>
    <w:semiHidden/>
    <w:unhideWhenUsed/>
  </w:style>
  <w:style w:type="character" w:styleId="870" w:customStyle="1">
    <w:name w:val="Заголовок 3 Знак"/>
    <w:basedOn w:val="867"/>
    <w:link w:val="865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871" w:customStyle="1">
    <w:name w:val="Заголовок 4 Знак"/>
    <w:basedOn w:val="867"/>
    <w:link w:val="866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paragraph" w:styleId="872">
    <w:name w:val="List Number"/>
    <w:basedOn w:val="862"/>
    <w:pPr>
      <w:ind w:firstLine="0"/>
      <w:spacing w:before="60"/>
    </w:pPr>
    <w:rPr>
      <w:szCs w:val="24"/>
    </w:rPr>
  </w:style>
  <w:style w:type="paragraph" w:styleId="873" w:customStyle="1">
    <w:name w:val="Стиль Заголовок 1 + по ширине"/>
    <w:basedOn w:val="863"/>
    <w:pPr>
      <w:numPr>
        <w:ilvl w:val="0"/>
        <w:numId w:val="1"/>
      </w:numPr>
      <w:spacing w:after="240" w:line="240" w:lineRule="auto"/>
    </w:pPr>
    <w:rPr>
      <w:rFonts w:ascii="Arial" w:hAnsi="Arial" w:eastAsia="Times New Roman" w:cs="Times New Roman"/>
      <w:color w:val="auto"/>
      <w:sz w:val="40"/>
      <w:szCs w:val="20"/>
    </w:rPr>
  </w:style>
  <w:style w:type="character" w:styleId="874" w:customStyle="1">
    <w:name w:val="Заголовок 1 Знак"/>
    <w:basedOn w:val="867"/>
    <w:link w:val="863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875">
    <w:name w:val="annotation reference"/>
    <w:basedOn w:val="867"/>
    <w:uiPriority w:val="99"/>
    <w:semiHidden/>
    <w:unhideWhenUsed/>
    <w:rPr>
      <w:sz w:val="16"/>
      <w:szCs w:val="16"/>
    </w:rPr>
  </w:style>
  <w:style w:type="character" w:styleId="876">
    <w:name w:val="Hyperlink"/>
    <w:basedOn w:val="867"/>
    <w:uiPriority w:val="99"/>
    <w:unhideWhenUsed/>
    <w:rPr>
      <w:color w:val="0000ff" w:themeColor="hyperlink"/>
      <w:u w:val="single"/>
    </w:rPr>
  </w:style>
  <w:style w:type="character" w:styleId="877" w:customStyle="1">
    <w:name w:val="Заголовок 2 Знак"/>
    <w:basedOn w:val="867"/>
    <w:link w:val="864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paragraph" w:styleId="878" w:customStyle="1">
    <w:name w:val="Пункт"/>
    <w:basedOn w:val="862"/>
    <w:link w:val="887"/>
    <w:pPr>
      <w:ind w:left="1985" w:hanging="1134"/>
      <w:tabs>
        <w:tab w:val="num" w:pos="1985" w:leader="none"/>
      </w:tabs>
    </w:pPr>
  </w:style>
  <w:style w:type="paragraph" w:styleId="879" w:customStyle="1">
    <w:name w:val="Подпункт"/>
    <w:basedOn w:val="878"/>
    <w:pPr>
      <w:ind w:left="1134"/>
      <w:tabs>
        <w:tab w:val="num" w:pos="1134" w:leader="none"/>
        <w:tab w:val="clear" w:pos="1985" w:leader="none"/>
      </w:tabs>
    </w:pPr>
  </w:style>
  <w:style w:type="character" w:styleId="880" w:customStyle="1">
    <w:name w:val="комментарий"/>
    <w:rPr>
      <w:b/>
      <w:i/>
      <w:shd w:val="clear" w:color="auto" w:fill="ffff99"/>
    </w:rPr>
  </w:style>
  <w:style w:type="paragraph" w:styleId="881" w:customStyle="1">
    <w:name w:val="Подподпункт"/>
    <w:basedOn w:val="879"/>
    <w:link w:val="883"/>
    <w:pPr>
      <w:ind w:left="1844" w:hanging="567"/>
      <w:tabs>
        <w:tab w:val="clear" w:pos="1134" w:leader="none"/>
        <w:tab w:val="num" w:pos="1844" w:leader="none"/>
      </w:tabs>
    </w:pPr>
  </w:style>
  <w:style w:type="paragraph" w:styleId="882" w:customStyle="1">
    <w:name w:val="Table_text"/>
    <w:basedOn w:val="862"/>
    <w:pPr>
      <w:ind w:firstLine="0"/>
      <w:spacing w:line="240" w:lineRule="auto"/>
    </w:pPr>
    <w:rPr>
      <w:sz w:val="20"/>
      <w:szCs w:val="24"/>
    </w:rPr>
  </w:style>
  <w:style w:type="character" w:styleId="883" w:customStyle="1">
    <w:name w:val="Подподпункт Знак"/>
    <w:link w:val="881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884">
    <w:name w:val="Balloon Text"/>
    <w:basedOn w:val="862"/>
    <w:link w:val="885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styleId="885" w:customStyle="1">
    <w:name w:val="Текст выноски Знак"/>
    <w:basedOn w:val="867"/>
    <w:link w:val="884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886">
    <w:name w:val="List Paragraph"/>
    <w:basedOn w:val="862"/>
    <w:uiPriority w:val="34"/>
    <w:qFormat/>
    <w:pPr>
      <w:contextualSpacing/>
      <w:ind w:left="720"/>
    </w:pPr>
  </w:style>
  <w:style w:type="character" w:styleId="887" w:customStyle="1">
    <w:name w:val="Пункт Знак2"/>
    <w:link w:val="878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888" w:customStyle="1">
    <w:name w:val="Table_header"/>
    <w:basedOn w:val="862"/>
    <w:pPr>
      <w:ind w:firstLine="0"/>
      <w:spacing w:before="120" w:line="240" w:lineRule="auto"/>
    </w:pPr>
    <w:rPr>
      <w:b/>
      <w:sz w:val="20"/>
      <w:szCs w:val="24"/>
    </w:rPr>
  </w:style>
  <w:style w:type="paragraph" w:styleId="889">
    <w:name w:val="Body Text Indent 2"/>
    <w:basedOn w:val="862"/>
    <w:link w:val="890"/>
    <w:pPr>
      <w:spacing w:line="240" w:lineRule="auto"/>
    </w:pPr>
    <w:rPr>
      <w:szCs w:val="24"/>
    </w:rPr>
  </w:style>
  <w:style w:type="character" w:styleId="890" w:customStyle="1">
    <w:name w:val="Основной текст с отступом 2 Знак"/>
    <w:basedOn w:val="867"/>
    <w:link w:val="889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891" w:customStyle="1">
    <w:name w:val="Таблица шапка"/>
    <w:basedOn w:val="862"/>
    <w:pPr>
      <w:ind w:left="57" w:right="57" w:firstLine="0"/>
      <w:jc w:val="left"/>
      <w:keepNext/>
      <w:spacing w:before="40" w:after="40" w:line="240" w:lineRule="auto"/>
    </w:pPr>
    <w:rPr>
      <w:sz w:val="22"/>
      <w:szCs w:val="26"/>
    </w:rPr>
  </w:style>
  <w:style w:type="paragraph" w:styleId="892">
    <w:name w:val="toc 6"/>
    <w:basedOn w:val="862"/>
    <w:next w:val="862"/>
    <w:uiPriority w:val="39"/>
    <w:pPr>
      <w:ind w:left="1400" w:firstLine="0"/>
      <w:jc w:val="left"/>
      <w:spacing w:before="120" w:line="240" w:lineRule="auto"/>
    </w:pPr>
    <w:rPr>
      <w:sz w:val="18"/>
      <w:szCs w:val="18"/>
    </w:rPr>
  </w:style>
  <w:style w:type="paragraph" w:styleId="893" w:customStyle="1">
    <w:name w:val="[РГ] Текст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Relationship Id="rId11" Type="http://schemas.openxmlformats.org/officeDocument/2006/relationships/hyperlink" Target="http://www.zakupki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C87BF-A01A-4168-95E3-C6464DD28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OAO 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Муравьёва Светлана Борисовна</dc:creator>
  <cp:lastModifiedBy>korneva_oa</cp:lastModifiedBy>
  <cp:revision>125</cp:revision>
  <dcterms:created xsi:type="dcterms:W3CDTF">2021-03-15T00:53:00Z</dcterms:created>
  <dcterms:modified xsi:type="dcterms:W3CDTF">2025-08-07T00:18:23Z</dcterms:modified>
</cp:coreProperties>
</file>